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C9" w:rsidRPr="006B75F5" w:rsidRDefault="006B75F5" w:rsidP="008D76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75F5"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D7604">
        <w:rPr>
          <w:rFonts w:ascii="Times New Roman" w:hAnsi="Times New Roman" w:cs="Times New Roman"/>
          <w:sz w:val="24"/>
          <w:szCs w:val="24"/>
        </w:rPr>
        <w:t xml:space="preserve">02.03. 2015 г. </w:t>
      </w:r>
      <w:r w:rsidR="008D7604" w:rsidRPr="008D7604">
        <w:rPr>
          <w:rFonts w:ascii="Times New Roman" w:hAnsi="Times New Roman" w:cs="Times New Roman"/>
          <w:sz w:val="24"/>
          <w:szCs w:val="24"/>
        </w:rPr>
        <w:t xml:space="preserve"> № 132 </w:t>
      </w:r>
    </w:p>
    <w:p w:rsidR="008D7604" w:rsidRDefault="008D7604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7C9" w:rsidRPr="000667C9" w:rsidRDefault="000667C9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C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667C9" w:rsidRPr="000667C9" w:rsidRDefault="000667C9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C9">
        <w:rPr>
          <w:rFonts w:ascii="Times New Roman" w:hAnsi="Times New Roman" w:cs="Times New Roman"/>
          <w:b/>
          <w:sz w:val="28"/>
          <w:szCs w:val="28"/>
        </w:rPr>
        <w:t>о порядке установления компенсационных и стимулирующих выплат</w:t>
      </w:r>
    </w:p>
    <w:p w:rsidR="000667C9" w:rsidRPr="000667C9" w:rsidRDefault="000667C9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C9">
        <w:rPr>
          <w:rFonts w:ascii="Times New Roman" w:hAnsi="Times New Roman" w:cs="Times New Roman"/>
          <w:b/>
          <w:sz w:val="28"/>
          <w:szCs w:val="28"/>
        </w:rPr>
        <w:t>руководителям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тельных организаций </w:t>
      </w:r>
    </w:p>
    <w:p w:rsidR="000667C9" w:rsidRPr="000667C9" w:rsidRDefault="000667C9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67C9">
        <w:rPr>
          <w:rFonts w:ascii="Times New Roman" w:hAnsi="Times New Roman" w:cs="Times New Roman"/>
          <w:b/>
          <w:sz w:val="28"/>
          <w:szCs w:val="28"/>
        </w:rPr>
        <w:t>Грязинского</w:t>
      </w:r>
      <w:proofErr w:type="spellEnd"/>
      <w:r w:rsidRPr="000667C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0667C9" w:rsidRDefault="000667C9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0667C9">
        <w:rPr>
          <w:rFonts w:ascii="Times New Roman" w:hAnsi="Times New Roman" w:cs="Times New Roman"/>
          <w:b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9D0ECB" w:rsidRPr="000667C9" w:rsidRDefault="009D0ECB" w:rsidP="000667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7C9" w:rsidRPr="000667C9" w:rsidRDefault="000667C9" w:rsidP="009D0E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C9">
        <w:rPr>
          <w:rFonts w:ascii="Times New Roman" w:hAnsi="Times New Roman" w:cs="Times New Roman"/>
          <w:b/>
          <w:iCs/>
          <w:sz w:val="28"/>
          <w:szCs w:val="28"/>
          <w:lang w:val="en-US"/>
        </w:rPr>
        <w:t>I</w:t>
      </w:r>
      <w:r w:rsidRPr="000667C9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0667C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установления компенсационных и стимулирующих выплат руководителям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0667C9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размеры и порядок установления компенсационных и стимулирующих выплат к должностным окладам и порядок премирования руководителей общеобразовательных и дошкольных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0667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0667C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0667C9">
        <w:rPr>
          <w:rFonts w:ascii="Times New Roman" w:hAnsi="Times New Roman" w:cs="Times New Roman"/>
          <w:sz w:val="28"/>
          <w:szCs w:val="28"/>
        </w:rPr>
        <w:t xml:space="preserve">(далее-руководители), учредителем которых является отдел образования администрации  </w:t>
      </w:r>
      <w:proofErr w:type="spellStart"/>
      <w:r w:rsidRPr="000667C9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Pr="000667C9">
        <w:rPr>
          <w:rFonts w:ascii="Times New Roman" w:hAnsi="Times New Roman" w:cs="Times New Roman"/>
          <w:sz w:val="28"/>
          <w:szCs w:val="28"/>
        </w:rPr>
        <w:t xml:space="preserve"> муниципального  района. 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1.2. Положение   разрабатывается,   изменяется и дополняется рабочей группой отдела образования и утверждается соответствующим приказом начальника.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1.3. Выплаты  компенсационного характера обеспечивают  оплату труда в повышенном размере руководителям, занятым на работах с вредными </w:t>
      </w:r>
      <w:r>
        <w:rPr>
          <w:rFonts w:ascii="Times New Roman" w:hAnsi="Times New Roman" w:cs="Times New Roman"/>
          <w:sz w:val="28"/>
          <w:szCs w:val="28"/>
        </w:rPr>
        <w:t xml:space="preserve">и (или) опасными </w:t>
      </w:r>
      <w:r w:rsidRPr="000667C9">
        <w:rPr>
          <w:rFonts w:ascii="Times New Roman" w:hAnsi="Times New Roman" w:cs="Times New Roman"/>
          <w:sz w:val="28"/>
          <w:szCs w:val="28"/>
        </w:rPr>
        <w:t xml:space="preserve"> условиями труда, </w:t>
      </w:r>
      <w:r>
        <w:rPr>
          <w:rFonts w:ascii="Times New Roman" w:hAnsi="Times New Roman" w:cs="Times New Roman"/>
          <w:sz w:val="28"/>
          <w:szCs w:val="28"/>
        </w:rPr>
        <w:t xml:space="preserve">за работу в условиях, </w:t>
      </w:r>
      <w:r w:rsidRPr="000667C9">
        <w:rPr>
          <w:rFonts w:ascii="Times New Roman" w:hAnsi="Times New Roman" w:cs="Times New Roman"/>
          <w:sz w:val="28"/>
          <w:szCs w:val="28"/>
        </w:rPr>
        <w:t xml:space="preserve">отклоняющихся </w:t>
      </w:r>
      <w:proofErr w:type="gramStart"/>
      <w:r w:rsidRPr="000667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667C9">
        <w:rPr>
          <w:rFonts w:ascii="Times New Roman" w:hAnsi="Times New Roman" w:cs="Times New Roman"/>
          <w:sz w:val="28"/>
          <w:szCs w:val="28"/>
        </w:rPr>
        <w:t xml:space="preserve"> нормальных.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1.4. Выплаты     стимулирующего     характера     имеют     своей    целью стимулировать   руководителей   к повышению мотивации качественного труда и их поощрения за </w:t>
      </w:r>
      <w:proofErr w:type="gramStart"/>
      <w:r w:rsidRPr="000667C9">
        <w:rPr>
          <w:rFonts w:ascii="Times New Roman" w:hAnsi="Times New Roman" w:cs="Times New Roman"/>
          <w:sz w:val="28"/>
          <w:szCs w:val="28"/>
        </w:rPr>
        <w:t>интенсивность</w:t>
      </w:r>
      <w:proofErr w:type="gramEnd"/>
      <w:r w:rsidRPr="000667C9">
        <w:rPr>
          <w:rFonts w:ascii="Times New Roman" w:hAnsi="Times New Roman" w:cs="Times New Roman"/>
          <w:sz w:val="28"/>
          <w:szCs w:val="28"/>
        </w:rPr>
        <w:t xml:space="preserve"> и результаты труда, повышение эффективности труда.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1.5.Источниками финансирования выплат компенсационного характера является базовая часть фонда оплаты труда учреждений, выплат стимулирующего характера - стимулирующая часть фонда оплаты труда учреждений.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1.6 Размеры выплат компенсационного и стимулирующего характера устанавливаются в процентах к должностному окладу.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0ECB" w:rsidRDefault="000667C9" w:rsidP="009D0E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7C9">
        <w:rPr>
          <w:rFonts w:ascii="Times New Roman" w:hAnsi="Times New Roman" w:cs="Times New Roman"/>
          <w:b/>
          <w:sz w:val="28"/>
          <w:szCs w:val="28"/>
        </w:rPr>
        <w:t>2. Размер и порядо</w:t>
      </w:r>
      <w:r>
        <w:rPr>
          <w:rFonts w:ascii="Times New Roman" w:hAnsi="Times New Roman" w:cs="Times New Roman"/>
          <w:b/>
          <w:sz w:val="28"/>
          <w:szCs w:val="28"/>
        </w:rPr>
        <w:t xml:space="preserve">к выплат компенсационного </w:t>
      </w:r>
      <w:r w:rsidRPr="000667C9">
        <w:rPr>
          <w:rFonts w:ascii="Times New Roman" w:hAnsi="Times New Roman" w:cs="Times New Roman"/>
          <w:b/>
          <w:sz w:val="28"/>
          <w:szCs w:val="28"/>
        </w:rPr>
        <w:t xml:space="preserve">характера     руководителям муниципальных </w:t>
      </w:r>
      <w:r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0667C9">
        <w:rPr>
          <w:rFonts w:ascii="Times New Roman" w:hAnsi="Times New Roman" w:cs="Times New Roman"/>
          <w:sz w:val="28"/>
          <w:szCs w:val="28"/>
        </w:rPr>
        <w:t>Виды выплат компенсационного характера, входящие в систему оплаты труда руководителя, устанавливаются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 Перечнем и размерами выплат компенсационного характера для руководителей,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заместителей и главных бухгалтеров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По</w:t>
      </w:r>
      <w:r w:rsidRPr="000667C9">
        <w:rPr>
          <w:rFonts w:ascii="Times New Roman" w:hAnsi="Times New Roman" w:cs="Times New Roman"/>
          <w:sz w:val="28"/>
          <w:szCs w:val="28"/>
        </w:rPr>
        <w:t xml:space="preserve">становлением администрации </w:t>
      </w:r>
      <w:proofErr w:type="spellStart"/>
      <w:r w:rsidRPr="000667C9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Pr="000667C9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от 30.01. 2015 г. № 241 </w:t>
      </w:r>
      <w:r w:rsidRPr="000667C9">
        <w:rPr>
          <w:rFonts w:ascii="Times New Roman" w:hAnsi="Times New Roman" w:cs="Times New Roman"/>
          <w:sz w:val="28"/>
          <w:szCs w:val="28"/>
        </w:rPr>
        <w:t xml:space="preserve">«О компенсационных и стимулирующих выплатах руководителям, их заместителям и  главным бухгалтерам учреждений  </w:t>
      </w:r>
      <w:proofErr w:type="spellStart"/>
      <w:r w:rsidRPr="000667C9">
        <w:rPr>
          <w:rFonts w:ascii="Times New Roman" w:hAnsi="Times New Roman" w:cs="Times New Roman"/>
          <w:sz w:val="28"/>
          <w:szCs w:val="28"/>
        </w:rPr>
        <w:t>Гря</w:t>
      </w:r>
      <w:r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района»,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7C9">
        <w:rPr>
          <w:rFonts w:ascii="Times New Roman" w:hAnsi="Times New Roman" w:cs="Times New Roman"/>
          <w:sz w:val="28"/>
          <w:szCs w:val="28"/>
        </w:rPr>
        <w:t xml:space="preserve">Положением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667C9">
        <w:rPr>
          <w:rFonts w:ascii="Times New Roman" w:hAnsi="Times New Roman" w:cs="Times New Roman"/>
          <w:sz w:val="28"/>
          <w:szCs w:val="28"/>
        </w:rPr>
        <w:t xml:space="preserve">б оплате труда работников учреждений </w:t>
      </w:r>
      <w:proofErr w:type="spellStart"/>
      <w:r w:rsidRPr="000667C9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Pr="000667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принятым  </w:t>
      </w:r>
      <w:r w:rsidRPr="000667C9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0667C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0667C9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Pr="000667C9">
        <w:rPr>
          <w:rFonts w:ascii="Times New Roman" w:hAnsi="Times New Roman" w:cs="Times New Roman"/>
          <w:sz w:val="28"/>
          <w:szCs w:val="28"/>
        </w:rPr>
        <w:t xml:space="preserve"> муниципального района от 29.10.2008</w:t>
      </w:r>
      <w:r w:rsidR="009D0ECB">
        <w:rPr>
          <w:rFonts w:ascii="Times New Roman" w:hAnsi="Times New Roman" w:cs="Times New Roman"/>
          <w:sz w:val="28"/>
          <w:szCs w:val="28"/>
        </w:rPr>
        <w:t xml:space="preserve"> </w:t>
      </w:r>
      <w:r w:rsidRPr="000667C9">
        <w:rPr>
          <w:rFonts w:ascii="Times New Roman" w:hAnsi="Times New Roman" w:cs="Times New Roman"/>
          <w:sz w:val="28"/>
          <w:szCs w:val="28"/>
        </w:rPr>
        <w:t>г</w:t>
      </w:r>
      <w:r w:rsidR="009D0ECB">
        <w:rPr>
          <w:rFonts w:ascii="Times New Roman" w:hAnsi="Times New Roman" w:cs="Times New Roman"/>
          <w:sz w:val="28"/>
          <w:szCs w:val="28"/>
        </w:rPr>
        <w:t>.</w:t>
      </w:r>
      <w:r w:rsidRPr="000667C9">
        <w:rPr>
          <w:rFonts w:ascii="Times New Roman" w:hAnsi="Times New Roman" w:cs="Times New Roman"/>
          <w:sz w:val="28"/>
          <w:szCs w:val="28"/>
        </w:rPr>
        <w:t xml:space="preserve"> №75</w:t>
      </w:r>
      <w:r w:rsidR="009D0ECB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0667C9">
        <w:rPr>
          <w:rFonts w:ascii="Times New Roman" w:hAnsi="Times New Roman" w:cs="Times New Roman"/>
          <w:sz w:val="28"/>
          <w:szCs w:val="28"/>
        </w:rPr>
        <w:t>.</w:t>
      </w:r>
    </w:p>
    <w:p w:rsid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2.2. Выплаты компенсационного характера устанавливаются при заключении трудового договора или при внесении изменений в условия трудового договора руководителям учреждений  учредителем.</w:t>
      </w:r>
    </w:p>
    <w:p w:rsidR="009D0ECB" w:rsidRPr="000667C9" w:rsidRDefault="009D0ECB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7C9" w:rsidRPr="000667C9" w:rsidRDefault="000667C9" w:rsidP="009D0EC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67C9">
        <w:rPr>
          <w:rFonts w:ascii="Times New Roman" w:hAnsi="Times New Roman" w:cs="Times New Roman"/>
          <w:b/>
          <w:bCs/>
          <w:sz w:val="28"/>
          <w:szCs w:val="28"/>
        </w:rPr>
        <w:t>3. Размер и порядок выплат стимулирующего характера руководителям   образова</w:t>
      </w:r>
      <w:r w:rsidR="009D0ECB">
        <w:rPr>
          <w:rFonts w:ascii="Times New Roman" w:hAnsi="Times New Roman" w:cs="Times New Roman"/>
          <w:b/>
          <w:bCs/>
          <w:sz w:val="28"/>
          <w:szCs w:val="28"/>
        </w:rPr>
        <w:t>тельных организаций</w:t>
      </w:r>
      <w:r w:rsidRPr="000667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D0ECB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3.1.</w:t>
      </w:r>
      <w:r w:rsidRPr="000667C9">
        <w:rPr>
          <w:rFonts w:ascii="Times New Roman" w:hAnsi="Times New Roman" w:cs="Times New Roman"/>
          <w:sz w:val="28"/>
          <w:szCs w:val="28"/>
        </w:rPr>
        <w:tab/>
        <w:t>Виды выплат стимулирующего характера, входящие в систему оплаты труда руководителей, устанавливаются в соответствии     с     П</w:t>
      </w:r>
      <w:r w:rsidR="009D0ECB">
        <w:rPr>
          <w:rFonts w:ascii="Times New Roman" w:hAnsi="Times New Roman" w:cs="Times New Roman"/>
          <w:sz w:val="28"/>
          <w:szCs w:val="28"/>
        </w:rPr>
        <w:t xml:space="preserve">оложением «О порядке стимулирования руководителей, их заместителей и главных бухгалтеров»,  </w:t>
      </w:r>
      <w:r w:rsidRPr="000667C9">
        <w:rPr>
          <w:rFonts w:ascii="Times New Roman" w:hAnsi="Times New Roman" w:cs="Times New Roman"/>
          <w:sz w:val="28"/>
          <w:szCs w:val="28"/>
        </w:rPr>
        <w:t xml:space="preserve">утвержденным  </w:t>
      </w:r>
      <w:r w:rsidR="009D0ECB" w:rsidRPr="009D0EC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9D0ECB" w:rsidRPr="009D0ECB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="009D0ECB" w:rsidRPr="009D0ECB">
        <w:rPr>
          <w:rFonts w:ascii="Times New Roman" w:hAnsi="Times New Roman" w:cs="Times New Roman"/>
          <w:sz w:val="28"/>
          <w:szCs w:val="28"/>
        </w:rPr>
        <w:t xml:space="preserve"> муниципального района  от 30.01. 2015 г. № 241 «О компенсационных и стимулирующих выплатах руководителям, их заместителям и  главным бухгалтерам учреждений  </w:t>
      </w:r>
      <w:proofErr w:type="spellStart"/>
      <w:r w:rsidR="009D0ECB" w:rsidRPr="009D0ECB">
        <w:rPr>
          <w:rFonts w:ascii="Times New Roman" w:hAnsi="Times New Roman" w:cs="Times New Roman"/>
          <w:sz w:val="28"/>
          <w:szCs w:val="28"/>
        </w:rPr>
        <w:t>Грязинского</w:t>
      </w:r>
      <w:proofErr w:type="spellEnd"/>
      <w:r w:rsidR="009D0ECB" w:rsidRPr="009D0ECB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Pr="000667C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3.2.</w:t>
      </w:r>
      <w:r w:rsidRPr="000667C9">
        <w:rPr>
          <w:rFonts w:ascii="Times New Roman" w:hAnsi="Times New Roman" w:cs="Times New Roman"/>
          <w:sz w:val="28"/>
          <w:szCs w:val="28"/>
        </w:rPr>
        <w:tab/>
        <w:t>За счет стимулирующей части фонда оплаты учреждения руководителям устанавливается система следующих стимулирующих выплат:</w:t>
      </w:r>
    </w:p>
    <w:p w:rsidR="000667C9" w:rsidRPr="000667C9" w:rsidRDefault="009D0ECB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67C9" w:rsidRPr="000667C9">
        <w:rPr>
          <w:rFonts w:ascii="Times New Roman" w:hAnsi="Times New Roman" w:cs="Times New Roman"/>
          <w:sz w:val="28"/>
          <w:szCs w:val="28"/>
        </w:rPr>
        <w:t>ежемесячные выплаты за интенсивность, высокие результаты труда и качество  выполняемых работ;</w:t>
      </w:r>
      <w:r w:rsidR="000667C9" w:rsidRPr="000667C9">
        <w:rPr>
          <w:rFonts w:ascii="Times New Roman" w:hAnsi="Times New Roman" w:cs="Times New Roman"/>
          <w:sz w:val="28"/>
          <w:szCs w:val="28"/>
        </w:rPr>
        <w:tab/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- ежемесячные выплаты за учен</w:t>
      </w:r>
      <w:r w:rsidR="009D0ECB">
        <w:rPr>
          <w:rFonts w:ascii="Times New Roman" w:hAnsi="Times New Roman" w:cs="Times New Roman"/>
          <w:sz w:val="28"/>
          <w:szCs w:val="28"/>
        </w:rPr>
        <w:t>ые</w:t>
      </w:r>
      <w:r w:rsidRPr="000667C9">
        <w:rPr>
          <w:rFonts w:ascii="Times New Roman" w:hAnsi="Times New Roman" w:cs="Times New Roman"/>
          <w:sz w:val="28"/>
          <w:szCs w:val="28"/>
        </w:rPr>
        <w:t xml:space="preserve">  степен</w:t>
      </w:r>
      <w:r w:rsidR="009D0ECB">
        <w:rPr>
          <w:rFonts w:ascii="Times New Roman" w:hAnsi="Times New Roman" w:cs="Times New Roman"/>
          <w:sz w:val="28"/>
          <w:szCs w:val="28"/>
        </w:rPr>
        <w:t>и</w:t>
      </w:r>
      <w:r w:rsidRPr="000667C9">
        <w:rPr>
          <w:rFonts w:ascii="Times New Roman" w:hAnsi="Times New Roman" w:cs="Times New Roman"/>
          <w:sz w:val="28"/>
          <w:szCs w:val="28"/>
        </w:rPr>
        <w:t xml:space="preserve"> доктора наук, кандидата наук, почетные звания «Заслуженный учитель РФ», «Народный», нагрудные знаки «Отличник просвещения СССР», «Отличник народного просвещения», «Почетный работник общего образования РФ», Почетная грамота Министерства образования и науки РФ</w:t>
      </w:r>
      <w:r w:rsidR="009D0ECB">
        <w:rPr>
          <w:rFonts w:ascii="Times New Roman" w:hAnsi="Times New Roman" w:cs="Times New Roman"/>
          <w:sz w:val="28"/>
          <w:szCs w:val="28"/>
        </w:rPr>
        <w:t>;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-ежемесячные выплаты за </w:t>
      </w:r>
      <w:r w:rsidR="009D0ECB">
        <w:rPr>
          <w:rFonts w:ascii="Times New Roman" w:hAnsi="Times New Roman" w:cs="Times New Roman"/>
          <w:sz w:val="28"/>
          <w:szCs w:val="28"/>
        </w:rPr>
        <w:t>выслугу лет (</w:t>
      </w:r>
      <w:r w:rsidRPr="000667C9">
        <w:rPr>
          <w:rFonts w:ascii="Times New Roman" w:hAnsi="Times New Roman" w:cs="Times New Roman"/>
          <w:sz w:val="28"/>
          <w:szCs w:val="28"/>
        </w:rPr>
        <w:t>общий стаж руководящей работы</w:t>
      </w:r>
      <w:r w:rsidR="009D0ECB">
        <w:rPr>
          <w:rFonts w:ascii="Times New Roman" w:hAnsi="Times New Roman" w:cs="Times New Roman"/>
          <w:sz w:val="28"/>
          <w:szCs w:val="28"/>
        </w:rPr>
        <w:t>)</w:t>
      </w:r>
      <w:r w:rsidRPr="000667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-разовые премии  по итогам работы; 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- премии по итогам работы за год.</w:t>
      </w:r>
    </w:p>
    <w:p w:rsidR="000667C9" w:rsidRPr="000667C9" w:rsidRDefault="000667C9" w:rsidP="009D0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>3.3 Ежемесячные выплаты за интенсивность, высокие результаты труда и качество выполняемых работ устанавливаются в размерах:</w:t>
      </w:r>
    </w:p>
    <w:p w:rsidR="0030016B" w:rsidRDefault="000667C9" w:rsidP="009D0EC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667C9">
        <w:rPr>
          <w:rFonts w:ascii="Times New Roman" w:hAnsi="Times New Roman" w:cs="Times New Roman"/>
          <w:sz w:val="28"/>
          <w:szCs w:val="28"/>
        </w:rPr>
        <w:t xml:space="preserve">- руководителям </w:t>
      </w:r>
      <w:r w:rsidR="009D0ECB">
        <w:rPr>
          <w:rFonts w:ascii="Times New Roman" w:hAnsi="Times New Roman" w:cs="Times New Roman"/>
          <w:sz w:val="28"/>
          <w:szCs w:val="28"/>
        </w:rPr>
        <w:t>–</w:t>
      </w:r>
      <w:r w:rsidRPr="000667C9">
        <w:rPr>
          <w:rFonts w:ascii="Times New Roman" w:hAnsi="Times New Roman" w:cs="Times New Roman"/>
          <w:sz w:val="28"/>
          <w:szCs w:val="28"/>
        </w:rPr>
        <w:t xml:space="preserve"> </w:t>
      </w:r>
      <w:r w:rsidR="009D0ECB">
        <w:rPr>
          <w:rFonts w:ascii="Times New Roman" w:hAnsi="Times New Roman" w:cs="Times New Roman"/>
          <w:sz w:val="28"/>
          <w:szCs w:val="28"/>
        </w:rPr>
        <w:t>от 60</w:t>
      </w:r>
      <w:r w:rsidRPr="000667C9">
        <w:rPr>
          <w:rFonts w:ascii="Times New Roman" w:hAnsi="Times New Roman" w:cs="Times New Roman"/>
          <w:sz w:val="28"/>
          <w:szCs w:val="28"/>
        </w:rPr>
        <w:t xml:space="preserve">% </w:t>
      </w:r>
      <w:r w:rsidR="009D0ECB">
        <w:rPr>
          <w:rFonts w:ascii="Times New Roman" w:hAnsi="Times New Roman" w:cs="Times New Roman"/>
          <w:sz w:val="28"/>
          <w:szCs w:val="28"/>
        </w:rPr>
        <w:t xml:space="preserve"> до 100% </w:t>
      </w:r>
      <w:r w:rsidR="00A830F6">
        <w:rPr>
          <w:rFonts w:ascii="Times New Roman" w:hAnsi="Times New Roman" w:cs="Times New Roman"/>
          <w:sz w:val="28"/>
          <w:szCs w:val="28"/>
        </w:rPr>
        <w:t>должностного оклада в соответствии с</w:t>
      </w:r>
      <w:r w:rsidR="00A830F6" w:rsidRPr="00A830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830F6" w:rsidRPr="00A830F6">
        <w:rPr>
          <w:rFonts w:ascii="Times New Roman" w:hAnsi="Times New Roman" w:cs="Times New Roman"/>
          <w:iCs/>
          <w:sz w:val="28"/>
          <w:szCs w:val="28"/>
        </w:rPr>
        <w:t xml:space="preserve">утверждёнными приказом отдела образования от 31.10. </w:t>
      </w:r>
      <w:smartTag w:uri="urn:schemas-microsoft-com:office:smarttags" w:element="metricconverter">
        <w:smartTagPr>
          <w:attr w:name="ProductID" w:val="2013 г"/>
        </w:smartTagPr>
        <w:r w:rsidR="00A830F6" w:rsidRPr="00A830F6">
          <w:rPr>
            <w:rFonts w:ascii="Times New Roman" w:hAnsi="Times New Roman" w:cs="Times New Roman"/>
            <w:iCs/>
            <w:sz w:val="28"/>
            <w:szCs w:val="28"/>
          </w:rPr>
          <w:t>2013 г</w:t>
        </w:r>
      </w:smartTag>
      <w:r w:rsidR="00A830F6" w:rsidRPr="00A830F6">
        <w:rPr>
          <w:rFonts w:ascii="Times New Roman" w:hAnsi="Times New Roman" w:cs="Times New Roman"/>
          <w:iCs/>
          <w:sz w:val="28"/>
          <w:szCs w:val="28"/>
        </w:rPr>
        <w:t xml:space="preserve">.  № 715 </w:t>
      </w:r>
      <w:r w:rsidR="00A830F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целевыми </w:t>
      </w:r>
      <w:r w:rsidR="00A830F6" w:rsidRPr="00A830F6">
        <w:rPr>
          <w:rFonts w:ascii="Times New Roman" w:hAnsi="Times New Roman" w:cs="Times New Roman"/>
          <w:iCs/>
          <w:sz w:val="28"/>
          <w:szCs w:val="28"/>
        </w:rPr>
        <w:t>показателями эф</w:t>
      </w:r>
      <w:r w:rsidR="00A830F6">
        <w:rPr>
          <w:rFonts w:ascii="Times New Roman" w:hAnsi="Times New Roman" w:cs="Times New Roman"/>
          <w:iCs/>
          <w:sz w:val="28"/>
          <w:szCs w:val="28"/>
        </w:rPr>
        <w:t>фективности работы руководите</w:t>
      </w:r>
      <w:r w:rsidR="002B6F61">
        <w:rPr>
          <w:rFonts w:ascii="Times New Roman" w:hAnsi="Times New Roman" w:cs="Times New Roman"/>
          <w:iCs/>
          <w:sz w:val="28"/>
          <w:szCs w:val="28"/>
        </w:rPr>
        <w:t>лей образовательных организаций</w:t>
      </w:r>
      <w:r w:rsidR="0030016B">
        <w:rPr>
          <w:rFonts w:ascii="Times New Roman" w:hAnsi="Times New Roman" w:cs="Times New Roman"/>
          <w:iCs/>
          <w:sz w:val="28"/>
          <w:szCs w:val="28"/>
        </w:rPr>
        <w:t>.</w:t>
      </w:r>
    </w:p>
    <w:p w:rsidR="0030016B" w:rsidRPr="0030016B" w:rsidRDefault="0030016B" w:rsidP="0030016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3.4. </w:t>
      </w:r>
      <w:r w:rsidRPr="0030016B">
        <w:rPr>
          <w:rFonts w:ascii="Times New Roman" w:hAnsi="Times New Roman" w:cs="Times New Roman"/>
          <w:iCs/>
          <w:sz w:val="28"/>
          <w:szCs w:val="28"/>
        </w:rPr>
        <w:t xml:space="preserve">Назначение выплат стимулирующего характера руководителям  производится 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30016B">
        <w:rPr>
          <w:rFonts w:ascii="Times New Roman" w:hAnsi="Times New Roman" w:cs="Times New Roman"/>
          <w:iCs/>
          <w:sz w:val="28"/>
          <w:szCs w:val="28"/>
        </w:rPr>
        <w:t xml:space="preserve"> раз в год </w:t>
      </w:r>
      <w:r>
        <w:rPr>
          <w:rFonts w:ascii="Times New Roman" w:hAnsi="Times New Roman" w:cs="Times New Roman"/>
          <w:iCs/>
          <w:sz w:val="28"/>
          <w:szCs w:val="28"/>
        </w:rPr>
        <w:t>по состоянию на 1 января</w:t>
      </w:r>
      <w:r w:rsidRPr="0030016B">
        <w:rPr>
          <w:rFonts w:ascii="Times New Roman" w:hAnsi="Times New Roman" w:cs="Times New Roman"/>
          <w:iCs/>
          <w:sz w:val="28"/>
          <w:szCs w:val="28"/>
        </w:rPr>
        <w:t xml:space="preserve"> в соответствии с протоколом заседания комиссии, осуществляющей работу в соответствии с приказом отдела образования по установлению компенсационных и стимулирующих выплат руководителям </w:t>
      </w:r>
      <w:r>
        <w:rPr>
          <w:rFonts w:ascii="Times New Roman" w:hAnsi="Times New Roman" w:cs="Times New Roman"/>
          <w:iCs/>
          <w:sz w:val="28"/>
          <w:szCs w:val="28"/>
        </w:rPr>
        <w:t>образовательных организаций.</w:t>
      </w:r>
    </w:p>
    <w:p w:rsidR="0030016B" w:rsidRDefault="0030016B" w:rsidP="0030016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30016B">
        <w:rPr>
          <w:rFonts w:ascii="Times New Roman" w:hAnsi="Times New Roman" w:cs="Times New Roman"/>
          <w:iCs/>
          <w:sz w:val="28"/>
          <w:szCs w:val="28"/>
        </w:rPr>
        <w:t xml:space="preserve">Для определения размера выплат стимулирующего характера руководители </w:t>
      </w: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30016B">
        <w:rPr>
          <w:rFonts w:ascii="Times New Roman" w:hAnsi="Times New Roman" w:cs="Times New Roman"/>
          <w:iCs/>
          <w:sz w:val="28"/>
          <w:szCs w:val="28"/>
        </w:rPr>
        <w:t>редставляют в комиссию отчет о выполнении целевых показателей деятельности руководителей установленной ф</w:t>
      </w:r>
      <w:r>
        <w:rPr>
          <w:rFonts w:ascii="Times New Roman" w:hAnsi="Times New Roman" w:cs="Times New Roman"/>
          <w:iCs/>
          <w:sz w:val="28"/>
          <w:szCs w:val="28"/>
        </w:rPr>
        <w:t xml:space="preserve">ормы </w:t>
      </w:r>
      <w:r w:rsidRPr="0030016B">
        <w:rPr>
          <w:rFonts w:ascii="Times New Roman" w:hAnsi="Times New Roman" w:cs="Times New Roman"/>
          <w:iCs/>
          <w:sz w:val="28"/>
          <w:szCs w:val="28"/>
        </w:rPr>
        <w:t>до 2</w:t>
      </w:r>
      <w:r>
        <w:rPr>
          <w:rFonts w:ascii="Times New Roman" w:hAnsi="Times New Roman" w:cs="Times New Roman"/>
          <w:iCs/>
          <w:sz w:val="28"/>
          <w:szCs w:val="28"/>
        </w:rPr>
        <w:t>5 декабря</w:t>
      </w:r>
      <w:r w:rsidRPr="0030016B">
        <w:rPr>
          <w:rFonts w:ascii="Times New Roman" w:hAnsi="Times New Roman" w:cs="Times New Roman"/>
          <w:iCs/>
          <w:sz w:val="28"/>
          <w:szCs w:val="28"/>
        </w:rPr>
        <w:t>.</w:t>
      </w:r>
    </w:p>
    <w:p w:rsidR="0030016B" w:rsidRPr="0030016B" w:rsidRDefault="0030016B" w:rsidP="0030016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3.5. Ежемесячные выплаты стимулирующего характера </w:t>
      </w:r>
      <w:r w:rsidR="00E1390E">
        <w:rPr>
          <w:rFonts w:ascii="Times New Roman" w:hAnsi="Times New Roman" w:cs="Times New Roman"/>
          <w:iCs/>
          <w:sz w:val="28"/>
          <w:szCs w:val="28"/>
        </w:rPr>
        <w:t>производятся на основании приказа отдела образования.</w:t>
      </w:r>
    </w:p>
    <w:p w:rsidR="00E1390E" w:rsidRDefault="00E1390E" w:rsidP="002B6F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ECB" w:rsidRPr="009D0ECB" w:rsidRDefault="009D0ECB" w:rsidP="002B6F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ECB">
        <w:rPr>
          <w:rFonts w:ascii="Times New Roman" w:hAnsi="Times New Roman" w:cs="Times New Roman"/>
          <w:b/>
          <w:sz w:val="28"/>
          <w:szCs w:val="28"/>
        </w:rPr>
        <w:t xml:space="preserve">Ежемесячные выплаты стимулирующего характера директорам общеобразовательных </w:t>
      </w:r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9D0ECB">
        <w:rPr>
          <w:rFonts w:ascii="Times New Roman" w:hAnsi="Times New Roman" w:cs="Times New Roman"/>
          <w:b/>
          <w:sz w:val="28"/>
          <w:szCs w:val="28"/>
        </w:rPr>
        <w:t>.</w:t>
      </w:r>
    </w:p>
    <w:p w:rsidR="00A830F6" w:rsidRPr="00A830F6" w:rsidRDefault="00A830F6" w:rsidP="00A83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30F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30F6">
        <w:rPr>
          <w:rFonts w:ascii="Times New Roman" w:hAnsi="Times New Roman" w:cs="Times New Roman"/>
          <w:i/>
          <w:iCs/>
          <w:sz w:val="28"/>
          <w:szCs w:val="28"/>
        </w:rPr>
        <w:t xml:space="preserve">  3.3.1. Ежемесячные выплаты за интенсивность труда до 48 % должностного оклада устанавливаются </w:t>
      </w:r>
      <w:proofErr w:type="gramStart"/>
      <w:r w:rsidRPr="00A830F6">
        <w:rPr>
          <w:rFonts w:ascii="Times New Roman" w:hAnsi="Times New Roman" w:cs="Times New Roman"/>
          <w:i/>
          <w:sz w:val="28"/>
          <w:szCs w:val="28"/>
        </w:rPr>
        <w:t>за</w:t>
      </w:r>
      <w:proofErr w:type="gramEnd"/>
      <w:r w:rsidRPr="00A830F6">
        <w:rPr>
          <w:rFonts w:ascii="Times New Roman" w:hAnsi="Times New Roman" w:cs="Times New Roman"/>
          <w:i/>
          <w:sz w:val="28"/>
          <w:szCs w:val="28"/>
        </w:rPr>
        <w:t>:</w:t>
      </w:r>
      <w:r w:rsidRPr="00A830F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5149"/>
        <w:gridCol w:w="1149"/>
        <w:gridCol w:w="1083"/>
      </w:tblGrid>
      <w:tr w:rsidR="00A830F6" w:rsidRPr="00A830F6" w:rsidTr="00E1390E">
        <w:trPr>
          <w:trHeight w:val="909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Утверж</w:t>
            </w:r>
            <w:proofErr w:type="spellEnd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Выпол-нено</w:t>
            </w:r>
            <w:proofErr w:type="spellEnd"/>
            <w:proofErr w:type="gramEnd"/>
          </w:p>
        </w:tc>
      </w:tr>
      <w:tr w:rsidR="00A830F6" w:rsidRPr="00A830F6" w:rsidTr="00E1390E"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деятельности ОУ требованиям законодательства в области образования (3%)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1.1. Отсутствие нарушений законодательства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119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1.2. Отсутствие невыполненных предписаний надзорных органов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1.3. Отсутствие объективных жалоб со стороны участников образовательного процесса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2. Информационная открытость ОУ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 3 %)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2.1. Размещение на официальном сайте учреждения в сети Интернет информации о своей деятельности: актуальные новости, протоколы комиссий по распределению стимулирующего фонда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2.2. Участие в процедурах независимой оценки качества образования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2.3. Публикации в СМИ о деятельности ОУ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1215"/>
        </w:trPr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Демократизация управления образовательным учреждением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(1%)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3.1. Результативность участия органов общественного управления ОУ в решении актуальных задач функционирования и развития учреждения, предъявленная публично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Эффективность управленческой деятельности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(13 %)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Качественное ведение школьной документации, своевременное предоставление отчетности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4.2. Работа в условиях, отклоняющихся от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нормальных (работа в две смены,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службами в ночное время, увеличение объёма работ, ненормированный рабочий день)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4.3.  Повышение интенсивности работы учреждения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  гимназия,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  с направлением в работе, с углубленным изучением предметов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стажировочная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  экспериментальная площадка: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6 %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420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4.4. Наличие грантов, полученных ОУ в результате участия в конкурсах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3 %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осуществления учебно-воспитательного процесса (До 11%)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5.1. Развитие материально-технической базы ОУ: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положительная (устойчивая) динамика расширения (изменения) информационной образовательной среды (количество учащихся на 1 компьютер в школьном пространстве, количество компьютеризованных рабочих мест педагогов и активность их использования; банк информационных образовательных ресурсов и др.)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положительная (устойчивая) динамика развития (изменения) материально-технической базы для лабораторных, практических занятий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соответствие материальной базы для занятий физической культуры и реализации программ оздоровления школьников требованиям программ (ФГОС)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5.2. Обеспечение санитарно-гигиенических условий процесса обучения, (в том числе наличие оборудованных гардеробов, туалетов)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5.3. Эстетическое  оформление школы, кабинетов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5.4. Благоустройство и состояние пришкольных территорий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5.5. Создание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жизнедеятельности в учреждении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5.6. Мероприятия по сохранению здоровья детей: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1) охват двухразовым горячим питанием не менее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60 % обучающихся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80% обучающихся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Кадровые ресурсы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17%)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6.1. Укомплектованность педагогическими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кадрами на 100 %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6.2. Доля педагогов, имеющих высшее образование, от общего числа педагогов, не менее 90 %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6.3. Доля педагогов, имеющих высшую и первую квалификационные категории, от общего числа педагогов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80 - 90 %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6.4. Отсутствие учителей, ведущих преподавателей не профилю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6.7. Участие педагогов в конкурсах профессионального мастерства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уровень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6.8. Участие педагогов в различных конкурсах (на лучшую методическую разработку, урок и т.д.)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уровень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1625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6.9. Наличие педагогических работников, ставших победителями (текущий год)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 конкурсе на получение денежного поощрения лучших учителей в рамках ПНПО,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творческих конкурсов, конкурсов профессионального мастерства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6.10. Привлечение в школу молодых специалистов: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учителей в возрасте до 30 лет в общей численности учителей ОУ: 2014 год – не менее 8,8%;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2015 год-не менее 9,2%;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2016 год-не менее 11,2%;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2017 год-не менее 13,5%;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2018 го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16%.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6.13. Проведение семинаров на базе учреждения (1% за каждый)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48 %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9829" w:type="dxa"/>
            <w:gridSpan w:val="4"/>
            <w:tcBorders>
              <w:left w:val="nil"/>
              <w:right w:val="nil"/>
            </w:tcBorders>
          </w:tcPr>
          <w:p w:rsidR="00A830F6" w:rsidRPr="00E1390E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3.3.2. Ежемесячные выплаты за качество выполняемых работ, высокие показатели до 52% должностного оклада устанавливаются  за выполненные показатели:</w:t>
            </w:r>
          </w:p>
        </w:tc>
      </w:tr>
      <w:tr w:rsidR="00A830F6" w:rsidRPr="00A830F6" w:rsidTr="00E1390E">
        <w:tc>
          <w:tcPr>
            <w:tcW w:w="244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и общедоступность общего образования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26 %)</w:t>
            </w:r>
          </w:p>
        </w:tc>
        <w:tc>
          <w:tcPr>
            <w:tcW w:w="5149" w:type="dxa"/>
            <w:tcBorders>
              <w:lef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Положительная (устойчивая)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успеваемости в сравнении с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предыдущим периодом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1.3. Доля успевающих на «5» и «4» от общего числа аттестованных обучающихся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70-100%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50-70 %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40-50 %</w:t>
            </w:r>
          </w:p>
        </w:tc>
        <w:tc>
          <w:tcPr>
            <w:tcW w:w="1149" w:type="dxa"/>
            <w:tcBorders>
              <w:left w:val="single" w:sz="4" w:space="0" w:color="auto"/>
              <w:right w:val="nil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Pr="00A830F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государственной итоговой аттестации в форме ЕГЭ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Отношение среднего балла ЕГЭ у 10% выпускников с лучшими результатами к среднему баллу у 10% выпускников с худшими результатами: (по русскому языку и математике)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2014 год-не менее 1,74 (по 2% за каждый экзамен)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2015 го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1,7;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2016 год-не менее 1,66;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2017 год-не менее 1,62;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2018 год-не менее 1,58</w:t>
            </w:r>
          </w:p>
        </w:tc>
        <w:tc>
          <w:tcPr>
            <w:tcW w:w="1149" w:type="dxa"/>
            <w:tcBorders>
              <w:left w:val="single" w:sz="4" w:space="0" w:color="auto"/>
              <w:right w:val="nil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1.5. Соответствие результатов ГИА годовой оценке по предмету в 9-х классах (не ниже годовой)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100 %  (1 % по каждому предмету)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90-100 %  (0,5 % по каждому предмету)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1.9. Реализация профильного обучения,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1.11. Реализация программ, направленных на работу с одаренными детьми: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1) наличие призеров олимпиад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на   муниципальном,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наличие победителей интеллектуальных, предметных конкурсов, конференций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на   муниципальном,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,  Всероссийском уровнях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наличие школьников,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в очно-заочной школе «Одаренный ребенок»  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14%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  <w:tcBorders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tcBorders>
              <w:left w:val="single" w:sz="4" w:space="0" w:color="auto"/>
              <w:bottom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1.12. Реализация социокультурных проектов (школьный музей, театр, научное общество учащихся, др.)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 w:val="restart"/>
            <w:tcBorders>
              <w:top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Эффективность воспитательной системы ОУ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26 %)</w:t>
            </w:r>
          </w:p>
        </w:tc>
        <w:tc>
          <w:tcPr>
            <w:tcW w:w="5149" w:type="dxa"/>
            <w:tcBorders>
              <w:top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2.1. Разнообразие и результативность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реализуемых программ дополнительного образования детей (не предметных)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2.2. Организация различных форм внеклассной работы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социальных проектах</w:t>
            </w:r>
            <w:proofErr w:type="gramEnd"/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1,5%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0,5%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1,5%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2.4. Процент участия учреждения  в конкурсах, соревнованиях от общего числа мероприятий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30-50 %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50-75 %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более 75%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1,5%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0,5%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1,5%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2.5. Результативность участия в конкурсах, соревнованиях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на муниципальном: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(1 место,</w:t>
            </w:r>
            <w:proofErr w:type="gramEnd"/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призовое место)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региональном: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(1 место,</w:t>
            </w:r>
            <w:proofErr w:type="gramEnd"/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призовое место)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уровнях: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(1, призовое  место)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13%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2.6. Снижение количества обучающихся, состоящих на учете в комиссии по делам несовершеннолетних, отсутствие преступлений и правонарушений, совершенных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2.7. Высокий уровень оздоровления детей в летний период и каникулярное время 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работа школьного лагеря,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выполнение плана оздоровления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в оздоровлении не менее: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80% обучающихся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60-80 % обучающихся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50-60% обучающихся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1,5 %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2254"/>
        </w:trPr>
        <w:tc>
          <w:tcPr>
            <w:tcW w:w="2448" w:type="dxa"/>
            <w:vMerge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2.8. Проведение физкультурно-оздоровительных мероприятий: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проведение спортивных и оздоровительных мероприятий;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организация работы катков, спортивных площадок;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работа спортивных секций в выходные дни, вечернее время</w:t>
            </w: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4 %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E1390E">
        <w:trPr>
          <w:trHeight w:val="531"/>
        </w:trPr>
        <w:tc>
          <w:tcPr>
            <w:tcW w:w="2448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83" w:type="dxa"/>
          </w:tcPr>
          <w:p w:rsidR="00A830F6" w:rsidRPr="00A830F6" w:rsidRDefault="00A830F6" w:rsidP="00A83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30F6" w:rsidRPr="00A830F6" w:rsidRDefault="00A830F6" w:rsidP="00A83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33DD" w:rsidRDefault="00FC33DD" w:rsidP="00A830F6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830F6" w:rsidRPr="00A830F6" w:rsidRDefault="00A830F6" w:rsidP="00A83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830F6"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Ежемесячные выплаты стимулирующего характера заведующим дошкольными </w:t>
      </w:r>
      <w:r w:rsidR="002B6F61">
        <w:rPr>
          <w:rFonts w:ascii="Times New Roman" w:hAnsi="Times New Roman" w:cs="Times New Roman"/>
          <w:b/>
          <w:iCs/>
          <w:sz w:val="28"/>
          <w:szCs w:val="28"/>
        </w:rPr>
        <w:t>организациями.</w:t>
      </w:r>
    </w:p>
    <w:p w:rsidR="00A830F6" w:rsidRPr="00E1390E" w:rsidRDefault="00A830F6" w:rsidP="00A830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90E">
        <w:rPr>
          <w:rFonts w:ascii="Times New Roman" w:hAnsi="Times New Roman" w:cs="Times New Roman"/>
          <w:i/>
          <w:iCs/>
          <w:sz w:val="28"/>
          <w:szCs w:val="28"/>
        </w:rPr>
        <w:t xml:space="preserve">3.3.1. Ежемесячные выплаты за интенсивность труда до 41 % должностного оклада устанавливаются </w:t>
      </w:r>
      <w:proofErr w:type="gramStart"/>
      <w:r w:rsidRPr="00E1390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1390E">
        <w:rPr>
          <w:rFonts w:ascii="Times New Roman" w:hAnsi="Times New Roman" w:cs="Times New Roman"/>
          <w:sz w:val="28"/>
          <w:szCs w:val="28"/>
        </w:rPr>
        <w:t xml:space="preserve">: </w:t>
      </w:r>
      <w:r w:rsidRPr="00E1390E">
        <w:rPr>
          <w:rFonts w:ascii="Times New Roman" w:hAnsi="Times New Roman" w:cs="Times New Roman"/>
          <w:iCs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736"/>
        <w:gridCol w:w="1260"/>
        <w:gridCol w:w="1183"/>
      </w:tblGrid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ВЫПОЛ-</w:t>
            </w: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1. Соответствие деятельности ДОУ требованиям законодательства в сфере образования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3 %)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отсутствие нарушений законодательства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отсутствие невыполненных предписаний надзорных органов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 отсутствие обоснованных жалоб  со стороны участников образовательного процесса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Эффективность управленческой деятельности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8%)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продуктивность реализации Программы развития ДОУ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качественное ведение документации, своевременное предоставление отчетности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3) наличие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, экспериментальных площадок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4) организация работы консультационного пункта в ДОУ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5) наличие 2-х и более логопедических групп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3.Информационная открытость деятельности ДОУ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4%)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размещение на информационном сайте учреждения  информации о деятельности ДОУ: актуальные новости, протоколы комиссии по распределению стимулирующего фонда;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своевременное обновление сайта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2) наличие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интернет-странички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участие в процедурах независимой оценки качества образования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4) публикации в СМИ (в электронном, печатном виде) о деятельности ДОУ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Создание условий для осуществления учебно-воспитательного процесса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10%)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развитие (устойчивые показатели) материально-технической базы ДОУ, позволяющей обеспечить высокое качество обучения дошкольников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содержание игровых площадок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3) создание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жизнедеятельности в учреждении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4) организация и проведение систематической работы по благоустройству территории ДОУ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организация работы групп кратковременного пребывания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Охрана жизни и здоровья детей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7%)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реализация программ по сохранению и укреплению здоровья детей; систематическое проведение мероприятий, способствующих сохранению психического и физического здоровья детей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выполнение натуральных норм питания с учётом физиологических потребностей детского организма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100%-91%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80%-90%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организация работы с детьми с нарушениями в развитии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4) количество дней, пропущенных воспитанниками по болезни за отчётный период, ниже предыдущего периода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6.Социальные критерии (До 9 %)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наполняемость ДОУ: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150 детей и выше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от100 до 150 детей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50 до 100 детей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50 и ниже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организация дополнительных услуг в ДОУ (охват воспитанников из общего числа)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 от 81% и выше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50% детей до 80%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35% детей до 49%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работа с семьями  группы «риска»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3 %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41 %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957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830F6" w:rsidRPr="00E1390E" w:rsidRDefault="00A830F6" w:rsidP="00A830F6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3.3.2. Ежемесячные выплаты за качество выполняемы</w:t>
            </w:r>
            <w:r w:rsidR="00E1390E"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 работ до 59 % должностного окл</w:t>
            </w:r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ада устанавливаются  </w:t>
            </w:r>
            <w:proofErr w:type="gramStart"/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</w:t>
            </w:r>
            <w:proofErr w:type="gramEnd"/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</w:t>
            </w:r>
          </w:p>
        </w:tc>
      </w:tr>
      <w:tr w:rsidR="00A830F6" w:rsidRPr="00A830F6" w:rsidTr="00A830F6">
        <w:trPr>
          <w:trHeight w:val="4696"/>
        </w:trPr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Эффективность использования образовательных программ и технологий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15 %)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реализация программ нового поколения, внедрение в практику современных технологий.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реализация программ, направленных на работу с одаренными детьми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 участие воспитанников в творческих конкурсах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муниципальный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региональный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всероссийский уровень.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4) наличие призовых ме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ст в тв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орческих конкурсах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муниципальный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региональный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- всероссийский уровень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5) организация работы по преемственности в работе детского сада и школы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6) реализация социокультурных проектов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2. Качество обучения (До 6%)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промежуточные результаты освоения основной общеобразовательной программы дошкольного образования (мониторинг)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80% до 90%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90% до 100%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2) итоговые результаты освоения основной общеобразовательной программы дошкольного образования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80% до 90%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от 90% до 100%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3.Кадровые ресурсы (До 36%)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стабильность коллектива (общий уровень укомплектованности кадрами)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уровень образования: доля педагогических работников, имеющих высшее образование: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80-90%;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91-100%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3)доля педагогических работников, имеющих первую и высшую квалификационную категорию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-20% и выше;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-10-19%;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-10%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4) доля педагогических и руководящих работников ДОУ, прошедших в течение последних 3-х лет повышение квалификации или профессиональную переподготовку, в общей численности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и руководящих работников  ДОУ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830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. не менее 60%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830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. не менее 100%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5) наличие разработанных педагогами ДОУ методических разработок, авторских публикаций, апробированных и используемых другими педагогами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-уровень учреждения;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-муниципальный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-региональный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-федеральный уровень.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6) количество молодых специалистов (стаж до 5 лет)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30% и выше;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20%-29%;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7) организация работы творческих групп педагогов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8) наличие педагогов – участников конкурсов профессионального мастерства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муниципальный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региональный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всероссийский уровень.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9) наличие призёров профессиональных конкурсов воспитателей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муниципальный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региональный уровень;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 всероссийский уровень.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10) наличие педагогов, имеющих награды: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-почетные звания и отраслевые награды;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-почетные грамоты Управления образования и науки Липецкой области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11) положительная (устойчивая) динамика участия педагогических работников ДОУ в проектах разного уровня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8%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Участие ДОУ в общественной жизни города и района (До 2%)</w:t>
            </w:r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1) участие в массовых мероприятиях, проводимых в городе и районе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2) личный вклад в развитие муниципальной системы образования (участие в органах общественного управления, в работе комиссий, рабочих групп, жюри конкурсов, руководство методических объединений и пр.)</w:t>
            </w: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392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gram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4736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59%</w:t>
            </w:r>
          </w:p>
        </w:tc>
        <w:tc>
          <w:tcPr>
            <w:tcW w:w="1183" w:type="dxa"/>
            <w:shd w:val="clear" w:color="auto" w:fill="auto"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CA9" w:rsidRDefault="006D0CA9" w:rsidP="000667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30F6" w:rsidRPr="002B6F61" w:rsidRDefault="00A830F6" w:rsidP="002B6F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61">
        <w:rPr>
          <w:rFonts w:ascii="Times New Roman" w:hAnsi="Times New Roman" w:cs="Times New Roman"/>
          <w:b/>
          <w:iCs/>
          <w:sz w:val="28"/>
          <w:szCs w:val="28"/>
        </w:rPr>
        <w:lastRenderedPageBreak/>
        <w:t xml:space="preserve">Ежемесячные выплаты стимулирующего характера директорам </w:t>
      </w:r>
      <w:r w:rsidR="002B6F61" w:rsidRPr="002B6F61">
        <w:rPr>
          <w:rFonts w:ascii="Times New Roman" w:hAnsi="Times New Roman" w:cs="Times New Roman"/>
          <w:b/>
          <w:iCs/>
          <w:sz w:val="28"/>
          <w:szCs w:val="28"/>
        </w:rPr>
        <w:t>организаций  дополнительного образования детей.</w:t>
      </w:r>
    </w:p>
    <w:p w:rsidR="00A830F6" w:rsidRPr="00A830F6" w:rsidRDefault="00A830F6" w:rsidP="00A830F6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830F6" w:rsidRPr="00E1390E" w:rsidRDefault="00A830F6" w:rsidP="00A830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1390E">
        <w:rPr>
          <w:rFonts w:ascii="Times New Roman" w:hAnsi="Times New Roman" w:cs="Times New Roman"/>
          <w:i/>
          <w:iCs/>
          <w:sz w:val="28"/>
          <w:szCs w:val="28"/>
        </w:rPr>
        <w:t xml:space="preserve">3.3.1. Ежемесячные выплаты за интенсивность труда до 50 % должностного оклада устанавливаются </w:t>
      </w:r>
      <w:proofErr w:type="gramStart"/>
      <w:r w:rsidRPr="00E1390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1390E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6"/>
        <w:gridCol w:w="5147"/>
        <w:gridCol w:w="1149"/>
        <w:gridCol w:w="1083"/>
      </w:tblGrid>
      <w:tr w:rsidR="00A830F6" w:rsidRPr="00A830F6" w:rsidTr="00A830F6">
        <w:trPr>
          <w:trHeight w:val="909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Утверж</w:t>
            </w:r>
            <w:proofErr w:type="spellEnd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2B6F6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Выпол-нено</w:t>
            </w:r>
            <w:proofErr w:type="spellEnd"/>
            <w:proofErr w:type="gramEnd"/>
          </w:p>
        </w:tc>
      </w:tr>
      <w:tr w:rsidR="00A830F6" w:rsidRPr="00A830F6" w:rsidTr="00A830F6"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деятельности ОУ требованиям законодательства в области образования (3%)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1.1. Отсутствие нарушений законодательства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rPr>
          <w:trHeight w:val="119"/>
        </w:trPr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1.2. Отсутствие невыполненных предписаний надзорных органов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1.3. Отсутствие объективных жалоб со стороны участников образовательного процесса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2. Информационная открытость ОУ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2 %)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2.1. Размещение на официальном сайте учреждения в сети Интернет информации о своей деятельности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2.2. Публикации в СМИ о деятельности ОУ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rPr>
          <w:trHeight w:val="1215"/>
        </w:trPr>
        <w:tc>
          <w:tcPr>
            <w:tcW w:w="2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Демократизация управления образовательным учреждением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6%)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3.Сетевое взаимодействие и сотрудничество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 социальными партнёрами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Эффективность управленческой деятельности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10%)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4.1. Наличие экспериментальных,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 площадок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Наличие Программы развития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4.3. Качественное ведение документации, своевременное предоставление отчетности, ведение электронного документооборота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4.4. Работа в условиях, отклоняющихся от нормальных (работа в две смены,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службами в ночное время, увеличение объёма работ, ненормированный рабочий день)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3 %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rPr>
          <w:trHeight w:val="420"/>
        </w:trPr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4.5. Полнота реализации муниципального задания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0F6" w:rsidRPr="00A830F6" w:rsidTr="00A830F6">
        <w:trPr>
          <w:trHeight w:val="784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осуществления учебно-воспитательного процесса (До 9%)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5.1. Наличие индивидуальных образовательных программ для детей с ограниченными возможностями здоровья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5.2. Ресурсное обеспечение (положительная (устойчивая)) динамика развития материально-технической базы учреждения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5.3. Обеспечение санитарно-гигиенических условий процесса обучения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5.4. Эстетическое  оформление учреждения,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5.5. Благоустройство и состояние прилегающей территории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5.6. Создание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жизнедеятельности в учреждении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rPr>
          <w:trHeight w:val="1080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Кадровые ресурсы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20%)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6.1. Укомплектованность педагогическими кадрами в соответствии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со штатным расписанием,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с лицензионными требованиями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6.2. Доля педагогов, имеющих высшее образование, от общего числа педагогов, не менее 90 %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80-90%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2 %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6.3. Доля педагогов, прошедших курсы повышения квалификации, от общего числа педагогов, не менее 90 %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6.4. Доля педагогов, имеющих высшую квалификационную категорию, от общего числа педагогов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20% и выше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10-19%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6.5. Участие педагогов в конкурсах профессионального мастерства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уровень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6.6. Наличие педагогических работников, ставших победителями и призёрами профессиональных и творческих конкурсов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уровень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7%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6.7. Привлечение в учреждение молодых специалистов (в возрасте до 30 лет)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98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A830F6" w:rsidRPr="00E1390E" w:rsidRDefault="00A830F6" w:rsidP="00A830F6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139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</w:t>
            </w:r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3.3.2. Ежемесячные выплаты за качество выполняемых работ до 50 % должностного оклада устанавливаются  </w:t>
            </w:r>
            <w:proofErr w:type="gramStart"/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</w:t>
            </w:r>
            <w:proofErr w:type="gramEnd"/>
            <w:r w:rsidRPr="00E139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:</w:t>
            </w:r>
          </w:p>
        </w:tc>
      </w:tr>
      <w:tr w:rsidR="00A830F6" w:rsidRPr="00A830F6" w:rsidTr="00A830F6">
        <w:trPr>
          <w:trHeight w:val="349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Качество и общедоступность образования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(До 22%)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1.1. Сохранность  контингента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1.2. Положительные результаты независимой экспертизы в рамках проверок оценок качества образования на муниципальном, региональном уровнях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1.3. Реализация профильного обучения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1.4.Показатели охвата кружковой работой (секциями)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в сельской местности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городе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детей младшего школьного возраста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старшего возраста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воспитанников ДОУ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8%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1.5. Реализация программ, направленных на работу с одаренными детьми: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1.6. Реализация авторских программ педагогов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региональный уровень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всероссийский уровень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1.7. Наличие системы отслеживания динамики индивидуальных образовательных достижений обучающихся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>1.8. Н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аличие системы обеспечения индивидуальных образовательных маршрутов обучающихся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30F6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Эффективность воспитательной  системы ОУ (До 28%)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2.1. Разнообразие реализуемых программ, их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многопрофильность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2.2. Реализация программ по направлениям деятельности, интегрированных образовательных программ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муниципальном,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региональном,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2.3. Результативность участия в конкурсах, выставках, соревнованиях, фестивалях:  победители  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муниципальном,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региональном,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  <w:proofErr w:type="gram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8%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Pr="00A830F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Доля участия обучающихся в  творческих мероприятиях,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конкурсах, соревнованиях, акциях различного уровня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более 75%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30-74%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До 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2.5. Показатели охвата работой воспитанников,  состоящих на </w:t>
            </w:r>
            <w:proofErr w:type="spell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 учете, 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учете в комиссии по делам несовершеннолетних, детей, находящихся в трудной жизненной ситуации; отсутствие преступлений и правонарушений, совершенных </w:t>
            </w:r>
            <w:proofErr w:type="gramStart"/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 xml:space="preserve">2.6. Высокий уровень оздоровления детей в летний период и каникулярное время (доля воспитанников, охваченных организованным </w:t>
            </w: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каникулярным отдыхом)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20% и выше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10-20%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0F6" w:rsidRPr="00A830F6" w:rsidTr="00A830F6">
        <w:tc>
          <w:tcPr>
            <w:tcW w:w="24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2.7. Организация занятий в вечернее время, выходные дни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0F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F6" w:rsidRPr="00A830F6" w:rsidRDefault="00A830F6" w:rsidP="00A830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0F6" w:rsidRDefault="00A830F6" w:rsidP="000667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390E" w:rsidRPr="00E1390E" w:rsidRDefault="00E1390E" w:rsidP="00E1390E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Pr="00E1390E">
        <w:rPr>
          <w:rFonts w:ascii="Times New Roman" w:hAnsi="Times New Roman" w:cs="Times New Roman"/>
          <w:b/>
          <w:iCs/>
          <w:sz w:val="28"/>
          <w:szCs w:val="28"/>
        </w:rPr>
        <w:t xml:space="preserve">Ежемесячные выплаты за звания и награды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выплачиваются </w:t>
      </w:r>
      <w:proofErr w:type="gramStart"/>
      <w:r>
        <w:rPr>
          <w:rFonts w:ascii="Times New Roman" w:hAnsi="Times New Roman" w:cs="Times New Roman"/>
          <w:b/>
          <w:i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 xml:space="preserve">- ученую степень доктора наук, </w:t>
      </w:r>
      <w:r>
        <w:rPr>
          <w:rFonts w:ascii="Times New Roman" w:hAnsi="Times New Roman" w:cs="Times New Roman"/>
          <w:iCs/>
          <w:sz w:val="28"/>
          <w:szCs w:val="28"/>
        </w:rPr>
        <w:t xml:space="preserve">звание </w:t>
      </w:r>
      <w:r w:rsidRPr="00E1390E">
        <w:rPr>
          <w:rFonts w:ascii="Times New Roman" w:hAnsi="Times New Roman" w:cs="Times New Roman"/>
          <w:iCs/>
          <w:sz w:val="28"/>
          <w:szCs w:val="28"/>
        </w:rPr>
        <w:t xml:space="preserve">«Народный» </w:t>
      </w:r>
      <w:r>
        <w:rPr>
          <w:rFonts w:ascii="Times New Roman" w:hAnsi="Times New Roman" w:cs="Times New Roman"/>
          <w:iCs/>
          <w:sz w:val="28"/>
          <w:szCs w:val="28"/>
        </w:rPr>
        <w:t>- 40% должностного оклада,</w:t>
      </w:r>
    </w:p>
    <w:p w:rsidR="00E1390E" w:rsidRP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E1390E">
        <w:rPr>
          <w:rFonts w:ascii="Times New Roman" w:hAnsi="Times New Roman" w:cs="Times New Roman"/>
          <w:iCs/>
          <w:sz w:val="28"/>
          <w:szCs w:val="28"/>
        </w:rPr>
        <w:t>ученую степень кандидата наук, почетн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E1390E">
        <w:rPr>
          <w:rFonts w:ascii="Times New Roman" w:hAnsi="Times New Roman" w:cs="Times New Roman"/>
          <w:iCs/>
          <w:sz w:val="28"/>
          <w:szCs w:val="28"/>
        </w:rPr>
        <w:t>е звани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E1390E">
        <w:rPr>
          <w:rFonts w:ascii="Times New Roman" w:hAnsi="Times New Roman" w:cs="Times New Roman"/>
          <w:iCs/>
          <w:sz w:val="28"/>
          <w:szCs w:val="28"/>
        </w:rPr>
        <w:t xml:space="preserve"> «Заслуженный учитель РФ» -  </w:t>
      </w:r>
      <w:r>
        <w:rPr>
          <w:rFonts w:ascii="Times New Roman" w:hAnsi="Times New Roman" w:cs="Times New Roman"/>
          <w:iCs/>
          <w:sz w:val="28"/>
          <w:szCs w:val="28"/>
        </w:rPr>
        <w:t>25%</w:t>
      </w:r>
      <w:r w:rsidRPr="00E1390E">
        <w:rPr>
          <w:rFonts w:ascii="Times New Roman" w:hAnsi="Times New Roman" w:cs="Times New Roman"/>
          <w:iCs/>
          <w:sz w:val="28"/>
          <w:szCs w:val="28"/>
        </w:rPr>
        <w:t>;</w:t>
      </w:r>
    </w:p>
    <w:p w:rsidR="00E1390E" w:rsidRP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>- нагрудный знак «Отличник просвещения СССР», «Отличник народного просвещения</w:t>
      </w:r>
      <w:r w:rsidR="00DD7A2A">
        <w:rPr>
          <w:rFonts w:ascii="Times New Roman" w:hAnsi="Times New Roman" w:cs="Times New Roman"/>
          <w:iCs/>
          <w:sz w:val="28"/>
          <w:szCs w:val="28"/>
        </w:rPr>
        <w:t xml:space="preserve"> РФ</w:t>
      </w:r>
      <w:r w:rsidRPr="00E1390E">
        <w:rPr>
          <w:rFonts w:ascii="Times New Roman" w:hAnsi="Times New Roman" w:cs="Times New Roman"/>
          <w:iCs/>
          <w:sz w:val="28"/>
          <w:szCs w:val="28"/>
        </w:rPr>
        <w:t>», «Почетный работник общего образования РФ»</w:t>
      </w:r>
    </w:p>
    <w:p w:rsidR="00E1390E" w:rsidRP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>(не имеющим звание «Заслуженный учитель РФ») –  15%</w:t>
      </w:r>
      <w:r w:rsidRPr="00E1390E">
        <w:rPr>
          <w:rFonts w:ascii="Times New Roman" w:hAnsi="Times New Roman" w:cs="Times New Roman"/>
          <w:iCs/>
          <w:sz w:val="28"/>
          <w:szCs w:val="28"/>
        </w:rPr>
        <w:tab/>
        <w:t>;</w:t>
      </w:r>
    </w:p>
    <w:p w:rsid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 xml:space="preserve">- Почетную грамоту Министерства образования и науки РФ (не имеющим вышеперечисленных наград)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1390E">
        <w:rPr>
          <w:rFonts w:ascii="Times New Roman" w:hAnsi="Times New Roman" w:cs="Times New Roman"/>
          <w:iCs/>
          <w:sz w:val="28"/>
          <w:szCs w:val="28"/>
        </w:rPr>
        <w:t>–  10%.</w:t>
      </w:r>
    </w:p>
    <w:p w:rsidR="00E1390E" w:rsidRPr="00E1390E" w:rsidRDefault="00E1390E" w:rsidP="00E1390E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1390E" w:rsidRPr="00E1390E" w:rsidRDefault="00E1390E" w:rsidP="00E1390E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 xml:space="preserve">5. </w:t>
      </w:r>
      <w:r w:rsidRPr="00E1390E">
        <w:rPr>
          <w:rFonts w:ascii="Times New Roman" w:hAnsi="Times New Roman" w:cs="Times New Roman"/>
          <w:b/>
          <w:iCs/>
          <w:sz w:val="28"/>
          <w:szCs w:val="28"/>
        </w:rPr>
        <w:t xml:space="preserve">Ежемесячные  выплаты за </w:t>
      </w:r>
      <w:r>
        <w:rPr>
          <w:rFonts w:ascii="Times New Roman" w:hAnsi="Times New Roman" w:cs="Times New Roman"/>
          <w:b/>
          <w:iCs/>
          <w:sz w:val="28"/>
          <w:szCs w:val="28"/>
        </w:rPr>
        <w:t>выслугу лет (</w:t>
      </w:r>
      <w:r w:rsidRPr="00E1390E">
        <w:rPr>
          <w:rFonts w:ascii="Times New Roman" w:hAnsi="Times New Roman" w:cs="Times New Roman"/>
          <w:b/>
          <w:iCs/>
          <w:sz w:val="28"/>
          <w:szCs w:val="28"/>
        </w:rPr>
        <w:t>общий  стаж  руководящей работы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E1390E">
        <w:rPr>
          <w:rFonts w:ascii="Times New Roman" w:hAnsi="Times New Roman" w:cs="Times New Roman"/>
          <w:b/>
          <w:iCs/>
          <w:sz w:val="28"/>
          <w:szCs w:val="28"/>
        </w:rPr>
        <w:t xml:space="preserve"> должности директора, заведующе</w:t>
      </w:r>
      <w:r>
        <w:rPr>
          <w:rFonts w:ascii="Times New Roman" w:hAnsi="Times New Roman" w:cs="Times New Roman"/>
          <w:b/>
          <w:iCs/>
          <w:sz w:val="28"/>
          <w:szCs w:val="28"/>
        </w:rPr>
        <w:t>го):</w:t>
      </w:r>
    </w:p>
    <w:p w:rsidR="00E1390E" w:rsidRPr="00E1390E" w:rsidRDefault="00E1390E" w:rsidP="00E1390E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Стаж работы </w:t>
      </w:r>
      <w:r w:rsidRPr="00E1390E">
        <w:rPr>
          <w:rFonts w:ascii="Times New Roman" w:hAnsi="Times New Roman" w:cs="Times New Roman"/>
          <w:iCs/>
          <w:sz w:val="28"/>
          <w:szCs w:val="28"/>
        </w:rPr>
        <w:t>от 3 до 5 лет – 10%</w:t>
      </w:r>
      <w:r>
        <w:rPr>
          <w:rFonts w:ascii="Times New Roman" w:hAnsi="Times New Roman" w:cs="Times New Roman"/>
          <w:iCs/>
          <w:sz w:val="28"/>
          <w:szCs w:val="28"/>
        </w:rPr>
        <w:t>,</w:t>
      </w:r>
    </w:p>
    <w:p w:rsidR="00E1390E" w:rsidRPr="00E1390E" w:rsidRDefault="00E1390E" w:rsidP="00E1390E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Pr="00E1390E">
        <w:rPr>
          <w:rFonts w:ascii="Times New Roman" w:hAnsi="Times New Roman" w:cs="Times New Roman"/>
          <w:iCs/>
          <w:sz w:val="28"/>
          <w:szCs w:val="28"/>
        </w:rPr>
        <w:t>от 5 до 10 лет – 20%</w:t>
      </w:r>
      <w:r>
        <w:rPr>
          <w:rFonts w:ascii="Times New Roman" w:hAnsi="Times New Roman" w:cs="Times New Roman"/>
          <w:iCs/>
          <w:sz w:val="28"/>
          <w:szCs w:val="28"/>
        </w:rPr>
        <w:t>,</w:t>
      </w:r>
    </w:p>
    <w:p w:rsidR="00E1390E" w:rsidRPr="00E1390E" w:rsidRDefault="00E1390E" w:rsidP="00E1390E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Pr="00E1390E">
        <w:rPr>
          <w:rFonts w:ascii="Times New Roman" w:hAnsi="Times New Roman" w:cs="Times New Roman"/>
          <w:iCs/>
          <w:sz w:val="28"/>
          <w:szCs w:val="28"/>
        </w:rPr>
        <w:t>от 10 до 15 лет – 25%</w:t>
      </w:r>
      <w:r>
        <w:rPr>
          <w:rFonts w:ascii="Times New Roman" w:hAnsi="Times New Roman" w:cs="Times New Roman"/>
          <w:iCs/>
          <w:sz w:val="28"/>
          <w:szCs w:val="28"/>
        </w:rPr>
        <w:t>,</w:t>
      </w:r>
    </w:p>
    <w:p w:rsidR="00E1390E" w:rsidRDefault="00E1390E" w:rsidP="00E1390E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E1390E">
        <w:rPr>
          <w:rFonts w:ascii="Times New Roman" w:hAnsi="Times New Roman" w:cs="Times New Roman"/>
          <w:iCs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</w:t>
      </w:r>
      <w:r w:rsidRPr="00E1390E">
        <w:rPr>
          <w:rFonts w:ascii="Times New Roman" w:hAnsi="Times New Roman" w:cs="Times New Roman"/>
          <w:iCs/>
          <w:sz w:val="28"/>
          <w:szCs w:val="28"/>
        </w:rPr>
        <w:t>свыше 15 лет – 30%</w:t>
      </w:r>
      <w:r>
        <w:rPr>
          <w:rFonts w:ascii="Times New Roman" w:hAnsi="Times New Roman" w:cs="Times New Roman"/>
          <w:iCs/>
          <w:sz w:val="28"/>
          <w:szCs w:val="28"/>
        </w:rPr>
        <w:t xml:space="preserve">  должностного оклада.</w:t>
      </w:r>
    </w:p>
    <w:p w:rsidR="00E1390E" w:rsidRDefault="00E1390E" w:rsidP="00E1390E">
      <w:pPr>
        <w:spacing w:after="0"/>
        <w:rPr>
          <w:rFonts w:ascii="Times New Roman" w:hAnsi="Times New Roman" w:cs="Times New Roman"/>
          <w:iCs/>
          <w:sz w:val="28"/>
          <w:szCs w:val="28"/>
        </w:rPr>
      </w:pPr>
    </w:p>
    <w:p w:rsidR="000D41EA" w:rsidRPr="000D41EA" w:rsidRDefault="000D41EA" w:rsidP="000D41EA">
      <w:pPr>
        <w:spacing w:after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D41EA">
        <w:rPr>
          <w:rFonts w:ascii="Times New Roman" w:hAnsi="Times New Roman" w:cs="Times New Roman"/>
          <w:b/>
          <w:iCs/>
          <w:sz w:val="28"/>
          <w:szCs w:val="28"/>
        </w:rPr>
        <w:t>6. Премирование руководителей образовательных</w:t>
      </w: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D41EA">
        <w:rPr>
          <w:rFonts w:ascii="Times New Roman" w:hAnsi="Times New Roman" w:cs="Times New Roman"/>
          <w:b/>
          <w:iCs/>
          <w:sz w:val="28"/>
          <w:szCs w:val="28"/>
        </w:rPr>
        <w:t>организаций.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6.1. Разовые премии выплачиваются за счет экономии средств по фонду оплаты труда в связи с профессиональными праздниками и за высокие результаты работы по следующим основаниям: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D41EA">
        <w:rPr>
          <w:rFonts w:ascii="Times New Roman" w:hAnsi="Times New Roman" w:cs="Times New Roman"/>
          <w:iCs/>
          <w:sz w:val="28"/>
          <w:szCs w:val="28"/>
        </w:rPr>
        <w:t>- за эффективность учебно-воспитательного процесса (призовые места в круглогодичной спартакиаде, победы в областных и всероссийских конкурсах, олимпиадах, за подготовку и участие в значимых мероприятиях, проводимых отделом образования, Управлением образования и науки,  в размере до 100% долж</w:t>
      </w:r>
      <w:r w:rsidR="0052454A">
        <w:rPr>
          <w:rFonts w:ascii="Times New Roman" w:hAnsi="Times New Roman" w:cs="Times New Roman"/>
          <w:iCs/>
          <w:sz w:val="28"/>
          <w:szCs w:val="28"/>
        </w:rPr>
        <w:t>ностного оклада:</w:t>
      </w:r>
      <w:proofErr w:type="gramEnd"/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а) за призовые места в круглогодичной спартакиаде -10 %,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б) победы воспитанников (с учётом количества) в муниципальном этапе Всероссийской олимпиады школьников, за призовые места в областных конкурсах -  до 20%,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в) качественную подготовку районных мероприятий – до 20 %;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lastRenderedPageBreak/>
        <w:t>г) за победы в спортивных соревнованиях областного и Всероссийского уровня</w:t>
      </w:r>
      <w:r w:rsidR="00C76601">
        <w:rPr>
          <w:rFonts w:ascii="Times New Roman" w:hAnsi="Times New Roman" w:cs="Times New Roman"/>
          <w:iCs/>
          <w:sz w:val="28"/>
          <w:szCs w:val="28"/>
        </w:rPr>
        <w:t xml:space="preserve">, творческих конкурсах </w:t>
      </w: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– до 70 %,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д) за призовые места и победу в региональном этапе Всероссийской олимпиады школьников – до 100 %,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- за качественное проведение особо значимых мероприятий (подготовка к новому учебному году, работу пришкольного лагеря, благоустройство  и озеленение территорий учреждений, укрепление и пополнение материально-технической базы), эффективность управленческой деятельности в размере до </w:t>
      </w:r>
      <w:r w:rsidR="00273642">
        <w:rPr>
          <w:rFonts w:ascii="Times New Roman" w:hAnsi="Times New Roman" w:cs="Times New Roman"/>
          <w:iCs/>
          <w:sz w:val="28"/>
          <w:szCs w:val="28"/>
        </w:rPr>
        <w:t>10</w:t>
      </w:r>
      <w:r w:rsidRPr="000D41EA">
        <w:rPr>
          <w:rFonts w:ascii="Times New Roman" w:hAnsi="Times New Roman" w:cs="Times New Roman"/>
          <w:iCs/>
          <w:sz w:val="28"/>
          <w:szCs w:val="28"/>
        </w:rPr>
        <w:t>0%  должностного оклада.</w:t>
      </w:r>
      <w:r w:rsidRPr="000D41E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6.2. Премии по итогам года выплачиваются за счет средств, предусмотренных на оплату труда по смете расходов учреждения, в размере до 5 должностных окладов с учетом выплат компенсационного и стимулирующего характера. 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Премии выплачиваются </w:t>
      </w:r>
      <w:proofErr w:type="gramStart"/>
      <w:r w:rsidRPr="000D41EA">
        <w:rPr>
          <w:rFonts w:ascii="Times New Roman" w:hAnsi="Times New Roman" w:cs="Times New Roman"/>
          <w:iCs/>
          <w:sz w:val="28"/>
          <w:szCs w:val="28"/>
        </w:rPr>
        <w:t>за</w:t>
      </w:r>
      <w:proofErr w:type="gramEnd"/>
      <w:r w:rsidRPr="000D41EA">
        <w:rPr>
          <w:rFonts w:ascii="Times New Roman" w:hAnsi="Times New Roman" w:cs="Times New Roman"/>
          <w:iCs/>
          <w:sz w:val="28"/>
          <w:szCs w:val="28"/>
        </w:rPr>
        <w:t>: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        - высокие показатели организации учебно-воспитательного процесса,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        - образцовое  выполнение муниципального задания,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        - выполнение особо важных и ответственных работ.</w:t>
      </w:r>
    </w:p>
    <w:p w:rsidR="000D41EA" w:rsidRPr="009E4387" w:rsidRDefault="000D41EA" w:rsidP="009E4387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9E4387">
        <w:rPr>
          <w:rFonts w:ascii="Times New Roman" w:hAnsi="Times New Roman" w:cs="Times New Roman"/>
          <w:iCs/>
          <w:sz w:val="28"/>
          <w:szCs w:val="28"/>
        </w:rPr>
        <w:t>7. Размер и порядок оказания материальной помощи.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0D41EA">
        <w:rPr>
          <w:rFonts w:ascii="Times New Roman" w:hAnsi="Times New Roman" w:cs="Times New Roman"/>
          <w:iCs/>
          <w:sz w:val="28"/>
          <w:szCs w:val="28"/>
        </w:rPr>
        <w:t>Материальная помощь выплачивается в особых случаях (смерть членов семьи руководителя, свадьба, чрезвычайные ситуации, и др.) на основании письменного заявления руководителя. Размер материальной помощи определяется приказом начальника отдела образования в каждом конкретном случае. Материальная помощь оказывается в пределах установленного фонда оплаты труда.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8. Размер выплат стимулирующего характера, премий может быть изменен при выявлении существенных недостатков в деятельности руководителя или руководимого им учреждения: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а) нарушения нормативных документов РФ, Липецкой области, регламентирующих деятельность образовательных учреждений,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б)  нарушения в финансово- хозяйственной деятельности,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в)  нарушения Устава образовательного учреждения,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 xml:space="preserve">г)  невыполнение муниципального задания, 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д) обоснованных жалоб со стороны участников образовательного процесса,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41EA">
        <w:rPr>
          <w:rFonts w:ascii="Times New Roman" w:hAnsi="Times New Roman" w:cs="Times New Roman"/>
          <w:iCs/>
          <w:sz w:val="28"/>
          <w:szCs w:val="28"/>
        </w:rPr>
        <w:t>е) наличие дисциплинарных взысканий.</w:t>
      </w:r>
    </w:p>
    <w:p w:rsidR="000D41EA" w:rsidRPr="000D41EA" w:rsidRDefault="000D41EA" w:rsidP="000D41E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Pr="000D41EA">
        <w:rPr>
          <w:rFonts w:ascii="Times New Roman" w:hAnsi="Times New Roman" w:cs="Times New Roman"/>
          <w:iCs/>
          <w:sz w:val="28"/>
          <w:szCs w:val="28"/>
        </w:rPr>
        <w:t xml:space="preserve">Снижение размера </w:t>
      </w:r>
      <w:r w:rsidR="00DF69FF">
        <w:rPr>
          <w:rFonts w:ascii="Times New Roman" w:hAnsi="Times New Roman" w:cs="Times New Roman"/>
          <w:iCs/>
          <w:sz w:val="28"/>
          <w:szCs w:val="28"/>
        </w:rPr>
        <w:t xml:space="preserve">выплат </w:t>
      </w:r>
      <w:r w:rsidRPr="000D41EA">
        <w:rPr>
          <w:rFonts w:ascii="Times New Roman" w:hAnsi="Times New Roman" w:cs="Times New Roman"/>
          <w:iCs/>
          <w:sz w:val="28"/>
          <w:szCs w:val="28"/>
        </w:rPr>
        <w:t xml:space="preserve">стимулирующего характера, премий допускается в объеме до 30%. </w:t>
      </w:r>
    </w:p>
    <w:p w:rsidR="000D41EA" w:rsidRPr="000D41EA" w:rsidRDefault="000D41EA" w:rsidP="000D41EA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E1390E" w:rsidRPr="00E1390E" w:rsidRDefault="00E1390E" w:rsidP="000667C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1390E" w:rsidRPr="00E1390E" w:rsidSect="00E139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C9"/>
    <w:rsid w:val="000667C9"/>
    <w:rsid w:val="00084BC2"/>
    <w:rsid w:val="000D41EA"/>
    <w:rsid w:val="00273642"/>
    <w:rsid w:val="002B6F61"/>
    <w:rsid w:val="0030016B"/>
    <w:rsid w:val="0052454A"/>
    <w:rsid w:val="006B75F5"/>
    <w:rsid w:val="006D0CA9"/>
    <w:rsid w:val="008D7604"/>
    <w:rsid w:val="009D0ECB"/>
    <w:rsid w:val="009E4387"/>
    <w:rsid w:val="00A830F6"/>
    <w:rsid w:val="00C76601"/>
    <w:rsid w:val="00DD7A2A"/>
    <w:rsid w:val="00DF69FF"/>
    <w:rsid w:val="00E1390E"/>
    <w:rsid w:val="00FC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16</Pages>
  <Words>3950</Words>
  <Characters>22516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</dc:creator>
  <cp:lastModifiedBy>83</cp:lastModifiedBy>
  <cp:revision>11</cp:revision>
  <dcterms:created xsi:type="dcterms:W3CDTF">2015-03-25T04:12:00Z</dcterms:created>
  <dcterms:modified xsi:type="dcterms:W3CDTF">2016-01-19T11:41:00Z</dcterms:modified>
</cp:coreProperties>
</file>